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FE" w:rsidRDefault="00816DF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16DFE" w:rsidRDefault="00816DFE">
      <w:pPr>
        <w:pStyle w:val="ConsPlusNormal"/>
        <w:jc w:val="both"/>
        <w:outlineLvl w:val="0"/>
      </w:pPr>
    </w:p>
    <w:p w:rsidR="00816DFE" w:rsidRDefault="00816DFE">
      <w:pPr>
        <w:pStyle w:val="ConsPlusNormal"/>
        <w:jc w:val="both"/>
        <w:outlineLvl w:val="0"/>
      </w:pPr>
      <w:r>
        <w:t>Зарегистрировано в Минюсте РФ 7 апреля 2005 г. N 6478</w:t>
      </w:r>
    </w:p>
    <w:p w:rsidR="00816DFE" w:rsidRDefault="00816D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DFE" w:rsidRDefault="00816DFE">
      <w:pPr>
        <w:pStyle w:val="ConsPlusNormal"/>
      </w:pPr>
    </w:p>
    <w:p w:rsidR="00816DFE" w:rsidRDefault="00816DFE">
      <w:pPr>
        <w:pStyle w:val="ConsPlusTitle"/>
        <w:jc w:val="center"/>
      </w:pPr>
      <w:r>
        <w:t>МИНИСТЕРСТВО ЗДРАВООХРАНЕНИЯ И СОЦИАЛЬНОГО РАЗВИТИЯ</w:t>
      </w:r>
    </w:p>
    <w:p w:rsidR="00816DFE" w:rsidRDefault="00816DFE">
      <w:pPr>
        <w:pStyle w:val="ConsPlusTitle"/>
        <w:jc w:val="center"/>
      </w:pPr>
      <w:r>
        <w:t>РОССИЙСКОЙ ФЕДЕРАЦИИ</w:t>
      </w:r>
    </w:p>
    <w:p w:rsidR="00816DFE" w:rsidRDefault="00816DFE">
      <w:pPr>
        <w:pStyle w:val="ConsPlusTitle"/>
        <w:jc w:val="center"/>
      </w:pPr>
    </w:p>
    <w:p w:rsidR="00816DFE" w:rsidRDefault="00816DFE">
      <w:pPr>
        <w:pStyle w:val="ConsPlusTitle"/>
        <w:jc w:val="center"/>
      </w:pPr>
      <w:r>
        <w:t>ПРИКАЗ</w:t>
      </w:r>
    </w:p>
    <w:p w:rsidR="00816DFE" w:rsidRDefault="00816DFE">
      <w:pPr>
        <w:pStyle w:val="ConsPlusTitle"/>
        <w:jc w:val="center"/>
      </w:pPr>
      <w:r>
        <w:t>от 24 февраля 2005 г. N 160</w:t>
      </w:r>
    </w:p>
    <w:p w:rsidR="00816DFE" w:rsidRDefault="00816DFE">
      <w:pPr>
        <w:pStyle w:val="ConsPlusTitle"/>
        <w:jc w:val="center"/>
      </w:pPr>
    </w:p>
    <w:p w:rsidR="00816DFE" w:rsidRDefault="00816DFE">
      <w:pPr>
        <w:pStyle w:val="ConsPlusTitle"/>
        <w:jc w:val="center"/>
      </w:pPr>
      <w:r>
        <w:t>ОБ ОПРЕДЕЛЕНИИ СТЕПЕНИ</w:t>
      </w:r>
    </w:p>
    <w:p w:rsidR="00816DFE" w:rsidRDefault="00816DFE">
      <w:pPr>
        <w:pStyle w:val="ConsPlusTitle"/>
        <w:jc w:val="center"/>
      </w:pPr>
      <w:r>
        <w:t>ТЯЖЕСТИ ПОВРЕЖДЕНИЯ ЗДОРОВЬЯ ПРИ НЕСЧАСТНЫХ</w:t>
      </w:r>
    </w:p>
    <w:p w:rsidR="00816DFE" w:rsidRDefault="00816DFE">
      <w:pPr>
        <w:pStyle w:val="ConsPlusTitle"/>
        <w:jc w:val="center"/>
      </w:pPr>
      <w:r>
        <w:t>СЛУЧАЯХ НА ПРОИЗВОДСТВЕ</w:t>
      </w: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5.2.101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приказываю: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 xml:space="preserve">1. Установить, что определение степени тяжести повреждения здоровья при несчастных случаях на производстве осуществляется в соответствии с прилагаемой </w:t>
      </w:r>
      <w:hyperlink w:anchor="P34">
        <w:r>
          <w:rPr>
            <w:color w:val="0000FF"/>
          </w:rPr>
          <w:t>Схемой</w:t>
        </w:r>
      </w:hyperlink>
      <w:r>
        <w:t xml:space="preserve"> определения степени тяжести повреждения здоровья при несчастных случаях на производстве.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Минздрава России от 17 августа 1999 г. N 322 "Об утверждении схемы определения тяжести несчастных случаев на производстве" &lt;*&gt;.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&lt;*&gt; Признан не нуждающимся в государственной регистрации (письмо Минюста России от 03.09.1999 N 7275-ЭР).</w:t>
      </w: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jc w:val="right"/>
      </w:pPr>
      <w:r>
        <w:t>Министр</w:t>
      </w:r>
    </w:p>
    <w:p w:rsidR="00816DFE" w:rsidRDefault="00816DFE">
      <w:pPr>
        <w:pStyle w:val="ConsPlusNormal"/>
        <w:jc w:val="right"/>
      </w:pPr>
      <w:r>
        <w:t>М.Ю.ЗУРАБОВ</w:t>
      </w: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jc w:val="right"/>
        <w:outlineLvl w:val="0"/>
      </w:pPr>
      <w:r>
        <w:t>Приложение</w:t>
      </w:r>
    </w:p>
    <w:p w:rsidR="00816DFE" w:rsidRDefault="00816DFE">
      <w:pPr>
        <w:pStyle w:val="ConsPlusNormal"/>
        <w:jc w:val="right"/>
      </w:pPr>
      <w:r>
        <w:t>к Приказу</w:t>
      </w:r>
    </w:p>
    <w:p w:rsidR="00816DFE" w:rsidRDefault="00816DFE">
      <w:pPr>
        <w:pStyle w:val="ConsPlusNormal"/>
        <w:jc w:val="right"/>
      </w:pPr>
      <w:r>
        <w:t>Министерства здравоохранения</w:t>
      </w:r>
    </w:p>
    <w:p w:rsidR="00816DFE" w:rsidRDefault="00816DFE">
      <w:pPr>
        <w:pStyle w:val="ConsPlusNormal"/>
        <w:jc w:val="right"/>
      </w:pPr>
      <w:r>
        <w:t>и социального развития</w:t>
      </w:r>
    </w:p>
    <w:p w:rsidR="00816DFE" w:rsidRDefault="00816DFE">
      <w:pPr>
        <w:pStyle w:val="ConsPlusNormal"/>
        <w:jc w:val="right"/>
      </w:pPr>
      <w:r>
        <w:t>Российской Федерации</w:t>
      </w:r>
    </w:p>
    <w:p w:rsidR="00816DFE" w:rsidRDefault="00816DFE">
      <w:pPr>
        <w:pStyle w:val="ConsPlusNormal"/>
        <w:jc w:val="right"/>
      </w:pPr>
      <w:r>
        <w:t>от 24 февраля 2005 г. N 160</w:t>
      </w: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jc w:val="center"/>
      </w:pPr>
      <w:bookmarkStart w:id="0" w:name="P34"/>
      <w:bookmarkEnd w:id="0"/>
      <w:r>
        <w:t>СХЕМА</w:t>
      </w:r>
    </w:p>
    <w:p w:rsidR="00816DFE" w:rsidRDefault="00816DFE">
      <w:pPr>
        <w:pStyle w:val="ConsPlusNormal"/>
        <w:jc w:val="center"/>
      </w:pPr>
      <w:r>
        <w:t>ОПРЕДЕЛЕНИЯ СТЕПЕНИ ТЯЖЕСТИ ПОВРЕЖДЕНИЯ ЗДОРОВЬЯ</w:t>
      </w:r>
    </w:p>
    <w:p w:rsidR="00816DFE" w:rsidRDefault="00816DFE">
      <w:pPr>
        <w:pStyle w:val="ConsPlusNormal"/>
        <w:jc w:val="center"/>
      </w:pPr>
      <w:r>
        <w:t>ПРИ НЕСЧАСТНЫХ СЛУЧАЯХ НА ПРОИЗВОДСТВЕ</w:t>
      </w: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ind w:firstLine="540"/>
        <w:jc w:val="both"/>
      </w:pPr>
      <w:r>
        <w:t>1. Несчастные случаи на производстве по степени тяжести повреждения здоровья подразделяются на 2 категории: тяжелые и легкие.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 xml:space="preserve">2. Квалифицирующими признаками тяжести повреждения здоровья при несчастном случае </w:t>
      </w:r>
      <w:r>
        <w:lastRenderedPageBreak/>
        <w:t>на производстве являются: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характер полученных повреждений здоровья и осложнения, связанные с этими повреждениями, а также развитие и усугубление имеющихся хронических заболеваний в связи с получением повреждения;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последствия полученных повреждений здоровья (стойкая утрата трудоспособности).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Наличие одного из квалифицирующих признаков является достаточным для установления категории тяжести несчастного случая на производстве.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Признаками тяжелого несчастного случая на производстве являются также повреждения здоровья, угрожающие жизни пострадавшего. Предотвращение смертельного исхода в результате оказания медицинской помощи не влияет на оценку тяжести полученной травмы.</w:t>
      </w:r>
    </w:p>
    <w:p w:rsidR="00816DFE" w:rsidRDefault="00816DFE">
      <w:pPr>
        <w:pStyle w:val="ConsPlusNormal"/>
        <w:spacing w:before="220"/>
        <w:ind w:firstLine="540"/>
        <w:jc w:val="both"/>
      </w:pPr>
      <w:bookmarkStart w:id="1" w:name="P44"/>
      <w:bookmarkEnd w:id="1"/>
      <w:r>
        <w:t>3. К тяжелым несчастным случаям на производстве относятся: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1) повреждения здоровья, острый период которых сопровождается: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шоком;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комой;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кровопотерей (объемом более 20%);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эмболией;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острой недостаточностью функций жизненно важных органов и систем (ЦНС, сердечной, сосудистой, дыхательной, почечной, печеночной и (или) их сочетанием);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2) повреждения здоровья, квалифицированные при первичном осмотре пострадавшего врачами стационара, травматологического пункта или другими организациями здравоохранения как: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проникающие ранения черепа;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перелом черепа и лицевых костей;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ушиб головного мозга;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внутричерепная травма;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ранения, проникающие в просвет глотки, трахеи, пищевода, а также повреждения щитовидной и вилочковой железы;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проникающие ранения позвоночника;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переломовывихи</w:t>
      </w:r>
      <w:proofErr w:type="spellEnd"/>
      <w:r>
        <w:t xml:space="preserve"> и переломы тел или двусторонние переломы дуг I и II шейных позвонков, в том числе и без нарушения функции спинного мозга;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вывихи (в том числе подвывихи) шейных позвонков;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закрытые повреждения шейного отдела спинного мозга;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 xml:space="preserve">- перелом или </w:t>
      </w:r>
      <w:proofErr w:type="spellStart"/>
      <w:r>
        <w:t>переломовывих</w:t>
      </w:r>
      <w:proofErr w:type="spellEnd"/>
      <w:r>
        <w:t xml:space="preserve"> одного или нескольких грудных или поясничных позвонков, в том числе и без нарушения функции спинного мозга;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 xml:space="preserve">- ранения грудной клетки, проникающие в плевральную полость, полость перикарда или </w:t>
      </w:r>
      <w:r>
        <w:lastRenderedPageBreak/>
        <w:t>клетчатку средостения, в том числе без повреждения внутренних органов;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ранения живота, проникающие в полость брюшины;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ранения, проникающие в полость мочевого пузыря или кишечник;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открытые ранения органов забрюшинного пространства (почек, надпочечников, поджелудочной железы);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 xml:space="preserve">- разрыв внутреннего органа грудной или </w:t>
      </w:r>
      <w:proofErr w:type="gramStart"/>
      <w:r>
        <w:t>брюшной полости</w:t>
      </w:r>
      <w:proofErr w:type="gramEnd"/>
      <w:r>
        <w:t xml:space="preserve"> или полости таза, забрюшинного пространства, разрыв диафрагмы, разрыв предстательной железы, разрыв мочеточника, разрыв перепончатой части мочеиспускательного канала;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двусторонние переломы заднего полукольца таза с разрывом подвздошно-крестцового сочленения и нарушением непрерывности тазового кольца или двойные переломы тазового кольца в передней и задней частях с нарушением его непрерывности;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открытые переломы длинных трубчатых костей - плечевой, бедренной и большеберцовой, открытые повреждения тазобедренного и коленного суставов;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повреждения магистрального кровеносного сосуда: аорты, сонной (общей, внутренней, наружной), подключичной, плечевой, бедренной, подколенной артерий или сопровождающих их вен, нервов;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термические (химические) ожоги: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III - IV степени с площадью поражения, превышающей 15% поверхности тела;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III степени с площадью поражения более 20% поверхности тела;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II степени с площадью поражения более 30% поверхности тела;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дыхательных путей, лица и волосистой части головы;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радиационные поражения средней (от 12 Гр) степени тяжести и выше;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прерывание беременности;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3) повреждения, которые непосредственно не угрожают жизни пострадавшего, но являются тяжкими по последствиям: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потеря зрения, слуха, речи;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потеря какого-либо органа или полная утрата органом его функции (при этом потеря наиболее важной в функциональном отношении части конечности (кисти или стопы) приравнивают к потере руки или ноги);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психические расстройства;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утрата репродуктивной функции и способности к деторождению;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>- неизгладимое обезображивание лица.</w:t>
      </w:r>
    </w:p>
    <w:p w:rsidR="00816DFE" w:rsidRDefault="00816DFE">
      <w:pPr>
        <w:pStyle w:val="ConsPlusNormal"/>
        <w:spacing w:before="220"/>
        <w:ind w:firstLine="540"/>
        <w:jc w:val="both"/>
      </w:pPr>
      <w:r>
        <w:t xml:space="preserve">4. К легким несчастным случаям на производстве относятся повреждения, не входящие в </w:t>
      </w:r>
      <w:hyperlink w:anchor="P44">
        <w:r>
          <w:rPr>
            <w:color w:val="0000FF"/>
          </w:rPr>
          <w:t>пункт 3</w:t>
        </w:r>
      </w:hyperlink>
      <w:r>
        <w:t xml:space="preserve"> настоящей Схемы.</w:t>
      </w: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ind w:firstLine="540"/>
        <w:jc w:val="both"/>
      </w:pPr>
    </w:p>
    <w:p w:rsidR="00816DFE" w:rsidRDefault="00816D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BFB" w:rsidRDefault="00961BFB">
      <w:bookmarkStart w:id="2" w:name="_GoBack"/>
      <w:bookmarkEnd w:id="2"/>
    </w:p>
    <w:sectPr w:rsidR="00961BFB" w:rsidSect="0052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FE"/>
    <w:rsid w:val="00816DFE"/>
    <w:rsid w:val="009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9C54-90CF-49C6-B8AB-D5091AF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D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6D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6D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F923786D576D5EB3E4166D79DA51B81EE072613185028B0957C3BF652F1C1ACBCF457217A49182FA797E9EC4XFM" TargetMode="External"/><Relationship Id="rId5" Type="http://schemas.openxmlformats.org/officeDocument/2006/relationships/hyperlink" Target="consultantplus://offline/ref=4CF923786D576D5EB3E4166D79DA51B81DE67C643C8C5F81010ECFBD6220431FCCDE457310BA908AEC702ACD0873B67006263B15C650171EC4X5M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Кидинова Светлана Владимировна</dc:creator>
  <cp:keywords/>
  <dc:description/>
  <cp:lastModifiedBy>Кидинова Светлана Владимировна</cp:lastModifiedBy>
  <cp:revision>1</cp:revision>
  <dcterms:created xsi:type="dcterms:W3CDTF">2023-09-07T12:23:00Z</dcterms:created>
  <dcterms:modified xsi:type="dcterms:W3CDTF">2023-09-07T12:24:00Z</dcterms:modified>
</cp:coreProperties>
</file>